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</w:pPr>
      <w:r>
        <w:rPr>
          <w:rFonts w:ascii="Calibri" w:hAnsi="Calibri"/>
          <w:b/>
          <w:sz w:val="36"/>
        </w:rPr>
        <w:t xml:space="preserve">Pest Control Service Agreement</w:t>
      </w:r>
    </w:p>
    <w:tbl>
      <w:tblPr>
        <w:tblW w:w="9638" w:type="dxa"/>
        <w:tblLayout w:type="fixed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Agreement no.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[Agreement number]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Date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[Date]</w:t>
            </w:r>
          </w:p>
        </w:tc>
      </w:tr>
    </w:tbl>
    <w:p>
      <w:pPr>
        <w:spacing w:before="0" w:after="60"/>
      </w:pPr>
    </w:p>
    <w:p>
      <w:pPr>
        <w:spacing w:before="240" w:after="100"/>
      </w:pPr>
      <w:r>
        <w:rPr>
          <w:rFonts w:ascii="Calibri" w:hAnsi="Calibri"/>
          <w:b/>
          <w:color w:val="0B7A43"/>
          <w:sz w:val="26"/>
        </w:rPr>
        <w:t xml:space="preserve">1. Parties</w:t>
      </w:r>
    </w:p>
    <w:tbl>
      <w:tblPr>
        <w:tblW w:w="9638" w:type="dxa"/>
        <w:tblLayout w:type="fixed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Service provider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[Company name]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Address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[Company address]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Licence / registration no.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[Licence number]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Phone / email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[Phone] / [Email]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Customer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[Customer name]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Service address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[Property address]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Billing address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[Billing address, if different]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Phone / email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[Customer phone] / [Customer email]</w:t>
            </w:r>
          </w:p>
        </w:tc>
      </w:tr>
    </w:tbl>
    <w:p>
      <w:pPr>
        <w:spacing w:before="0" w:after="60"/>
      </w:pPr>
    </w:p>
    <w:p>
      <w:pPr>
        <w:spacing w:before="240" w:after="100"/>
      </w:pPr>
      <w:r>
        <w:rPr>
          <w:rFonts w:ascii="Calibri" w:hAnsi="Calibri"/>
          <w:b/>
          <w:color w:val="0B7A43"/>
          <w:sz w:val="26"/>
        </w:rPr>
        <w:t xml:space="preserve">2. Services covered</w:t>
      </w:r>
    </w:p>
    <w:p>
      <w:pPr>
        <w:spacing w:before="0" w:after="60"/>
      </w:pPr>
      <w:r>
        <w:rPr>
          <w:rFonts w:ascii="Calibri" w:hAnsi="Calibri"/>
          <w:sz w:val="21"/>
        </w:rPr>
        <w:t xml:space="preserve">☐  General pest (cockroaches, ants, spiders)</w:t>
      </w:r>
    </w:p>
    <w:p>
      <w:pPr>
        <w:spacing w:before="0" w:after="60"/>
      </w:pPr>
      <w:r>
        <w:rPr>
          <w:rFonts w:ascii="Calibri" w:hAnsi="Calibri"/>
          <w:sz w:val="21"/>
        </w:rPr>
        <w:t xml:space="preserve">☐  Rodent control and bait station service</w:t>
      </w:r>
    </w:p>
    <w:p>
      <w:pPr>
        <w:spacing w:before="0" w:after="60"/>
      </w:pPr>
      <w:r>
        <w:rPr>
          <w:rFonts w:ascii="Calibri" w:hAnsi="Calibri"/>
          <w:sz w:val="21"/>
        </w:rPr>
        <w:t xml:space="preserve">☐  Termite inspection / treatment</w:t>
      </w:r>
    </w:p>
    <w:p>
      <w:pPr>
        <w:spacing w:before="0" w:after="60"/>
      </w:pPr>
      <w:r>
        <w:rPr>
          <w:rFonts w:ascii="Calibri" w:hAnsi="Calibri"/>
          <w:sz w:val="21"/>
        </w:rPr>
        <w:t xml:space="preserve">☐  Mosquito and flying insect control</w:t>
      </w:r>
    </w:p>
    <w:p>
      <w:pPr>
        <w:spacing w:before="0" w:after="60"/>
      </w:pPr>
      <w:r>
        <w:rPr>
          <w:rFonts w:ascii="Calibri" w:hAnsi="Calibri"/>
          <w:sz w:val="21"/>
        </w:rPr>
        <w:t xml:space="preserve">☐  Bed bug treatment</w:t>
      </w:r>
    </w:p>
    <w:p>
      <w:pPr>
        <w:spacing w:before="0" w:after="60"/>
      </w:pPr>
      <w:r>
        <w:rPr>
          <w:rFonts w:ascii="Calibri" w:hAnsi="Calibri"/>
          <w:sz w:val="21"/>
        </w:rPr>
        <w:t xml:space="preserve">☐  Other: [specify]</w:t>
      </w:r>
    </w:p>
    <w:tbl>
      <w:tblPr>
        <w:tblW w:w="9638" w:type="dxa"/>
        <w:tblLayout w:type="fixed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Target pests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[List target pests]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Treatment areas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[Interior / exterior perimeter / sub-floor / roof void / garden]</w:t>
            </w:r>
          </w:p>
        </w:tc>
      </w:tr>
    </w:tbl>
    <w:p>
      <w:pPr>
        <w:spacing w:before="0" w:after="60"/>
      </w:pPr>
    </w:p>
    <w:p>
      <w:pPr>
        <w:spacing w:before="240" w:after="100"/>
      </w:pPr>
      <w:r>
        <w:rPr>
          <w:rFonts w:ascii="Calibri" w:hAnsi="Calibri"/>
          <w:b/>
          <w:color w:val="0B7A43"/>
          <w:sz w:val="26"/>
        </w:rPr>
        <w:t xml:space="preserve">3. Visit schedule</w:t>
      </w:r>
    </w:p>
    <w:tbl>
      <w:tblPr>
        <w:tblW w:w="9638" w:type="dxa"/>
        <w:tblLayout w:type="fixed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Scheduled visits per term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[e.g. 4]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Target frequency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[e.g. every 3 months]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Re-treatments between visits included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[e.g. up to 2 per term, at no extra charge]</w:t>
            </w: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rFonts w:ascii="Calibri" w:hAnsi="Calibri"/>
          <w:sz w:val="21"/>
        </w:rPr>
        <w:t xml:space="preserve">Visit dates may move due to weather, access, or safety. A rescheduled visit does not change the billing schedule in section 5.</w:t>
      </w:r>
    </w:p>
    <w:p>
      <w:pPr>
        <w:spacing w:before="240" w:after="100"/>
      </w:pPr>
      <w:r>
        <w:rPr>
          <w:rFonts w:ascii="Calibri" w:hAnsi="Calibri"/>
          <w:b/>
          <w:color w:val="0B7A43"/>
          <w:sz w:val="26"/>
        </w:rPr>
        <w:t xml:space="preserve">4. Term and renewal</w:t>
      </w:r>
    </w:p>
    <w:tbl>
      <w:tblPr>
        <w:tblW w:w="9638" w:type="dxa"/>
        <w:tblLayout w:type="fixed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Start date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[Start date]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Term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[e.g. 12 months]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Renewal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[Renews automatically for a further term unless either party gives notice / Renewal by written agreement]</w:t>
            </w:r>
          </w:p>
        </w:tc>
      </w:tr>
    </w:tbl>
    <w:p>
      <w:pPr>
        <w:spacing w:before="0" w:after="60"/>
      </w:pPr>
    </w:p>
    <w:p>
      <w:pPr>
        <w:spacing w:before="240" w:after="100"/>
      </w:pPr>
      <w:r>
        <w:rPr>
          <w:rFonts w:ascii="Calibri" w:hAnsi="Calibri"/>
          <w:b/>
          <w:color w:val="0B7A43"/>
          <w:sz w:val="26"/>
        </w:rPr>
        <w:t xml:space="preserve">5. Fees and billing</w:t>
      </w:r>
    </w:p>
    <w:tbl>
      <w:tblPr>
        <w:tblW w:w="9638" w:type="dxa"/>
        <w:tblLayout w:type="fixed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Contract value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[Amount] per term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Billing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[12 monthly instalments of Amount / quarterly / annually in advance]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Payment due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[e.g. within 14 days of invoice]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Payment methods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[Bank transfer / card / cash / cheque]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Tax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[VAT/GST rate and registration number, if applicable]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Late payment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[e.g. service may be paused after 30 days overdue]</w:t>
            </w:r>
          </w:p>
        </w:tc>
      </w:tr>
    </w:tbl>
    <w:p>
      <w:pPr>
        <w:spacing w:before="0" w:after="60"/>
      </w:pPr>
    </w:p>
    <w:p>
      <w:pPr>
        <w:spacing w:before="240" w:after="100"/>
      </w:pPr>
      <w:r>
        <w:rPr>
          <w:rFonts w:ascii="Calibri" w:hAnsi="Calibri"/>
          <w:b/>
          <w:color w:val="0B7A43"/>
          <w:sz w:val="26"/>
        </w:rPr>
        <w:t xml:space="preserve">6. Additional services</w:t>
      </w:r>
    </w:p>
    <w:p>
      <w:pPr>
        <w:spacing w:before="0" w:after="120"/>
      </w:pPr>
      <w:r>
        <w:rPr>
          <w:rFonts w:ascii="Calibri" w:hAnsi="Calibri"/>
          <w:sz w:val="21"/>
        </w:rPr>
        <w:t xml:space="preserve">Call-outs, treatments, or pests outside the scope of section 2, and re-treatments beyond the number included in section 3, will be quoted and billed separately at the provider's standard rates.</w:t>
      </w:r>
    </w:p>
    <w:p>
      <w:pPr>
        <w:spacing w:before="240" w:after="100"/>
      </w:pPr>
      <w:r>
        <w:rPr>
          <w:rFonts w:ascii="Calibri" w:hAnsi="Calibri"/>
          <w:b/>
          <w:color w:val="0B7A43"/>
          <w:sz w:val="26"/>
        </w:rPr>
        <w:t xml:space="preserve">7. Customer responsibilities</w:t>
      </w:r>
    </w:p>
    <w:p>
      <w:pPr>
        <w:spacing w:before="0" w:after="60"/>
      </w:pPr>
      <w:r>
        <w:rPr>
          <w:rFonts w:ascii="Calibri" w:hAnsi="Calibri"/>
          <w:sz w:val="21"/>
        </w:rPr>
        <w:t xml:space="preserve">☐  Provide safe access to all treatment areas at the agreed time</w:t>
      </w:r>
    </w:p>
    <w:p>
      <w:pPr>
        <w:spacing w:before="0" w:after="60"/>
      </w:pPr>
      <w:r>
        <w:rPr>
          <w:rFonts w:ascii="Calibri" w:hAnsi="Calibri"/>
          <w:sz w:val="21"/>
        </w:rPr>
        <w:t xml:space="preserve">☐  Follow preparation instructions given before each visit</w:t>
      </w:r>
    </w:p>
    <w:p>
      <w:pPr>
        <w:spacing w:before="0" w:after="60"/>
      </w:pPr>
      <w:r>
        <w:rPr>
          <w:rFonts w:ascii="Calibri" w:hAnsi="Calibri"/>
          <w:sz w:val="21"/>
        </w:rPr>
        <w:t xml:space="preserve">☐  Keep children and pets away from treated areas for the advised period</w:t>
      </w:r>
    </w:p>
    <w:p>
      <w:pPr>
        <w:spacing w:before="0" w:after="60"/>
      </w:pPr>
      <w:r>
        <w:rPr>
          <w:rFonts w:ascii="Calibri" w:hAnsi="Calibri"/>
          <w:sz w:val="21"/>
        </w:rPr>
        <w:t xml:space="preserve">☐  Report pest activity between visits promptly</w:t>
      </w:r>
    </w:p>
    <w:p>
      <w:pPr>
        <w:spacing w:before="0" w:after="60"/>
      </w:pPr>
      <w:r>
        <w:rPr>
          <w:rFonts w:ascii="Calibri" w:hAnsi="Calibri"/>
          <w:sz w:val="21"/>
        </w:rPr>
        <w:t xml:space="preserve">☐  Notify the provider of structural changes, renovations, or new occupants</w:t>
      </w:r>
    </w:p>
    <w:p>
      <w:pPr>
        <w:spacing w:before="240" w:after="100"/>
      </w:pPr>
      <w:r>
        <w:rPr>
          <w:rFonts w:ascii="Calibri" w:hAnsi="Calibri"/>
          <w:b/>
          <w:color w:val="0B7A43"/>
          <w:sz w:val="26"/>
        </w:rPr>
        <w:t xml:space="preserve">8. Treatment records</w:t>
      </w:r>
    </w:p>
    <w:p>
      <w:pPr>
        <w:spacing w:before="0" w:after="120"/>
      </w:pPr>
      <w:r>
        <w:rPr>
          <w:rFonts w:ascii="Calibri" w:hAnsi="Calibri"/>
          <w:sz w:val="21"/>
        </w:rPr>
        <w:t xml:space="preserve">The provider will record the products applied, quantities, treatment areas, date, and technician for every visit, and will provide copies to the customer on request.</w:t>
      </w:r>
    </w:p>
    <w:p>
      <w:pPr>
        <w:spacing w:before="240" w:after="100"/>
      </w:pPr>
      <w:r>
        <w:rPr>
          <w:rFonts w:ascii="Calibri" w:hAnsi="Calibri"/>
          <w:b/>
          <w:color w:val="0B7A43"/>
          <w:sz w:val="26"/>
        </w:rPr>
        <w:t xml:space="preserve">9. Cancellation</w:t>
      </w:r>
    </w:p>
    <w:p>
      <w:pPr>
        <w:spacing w:before="0" w:after="120"/>
      </w:pPr>
      <w:r>
        <w:rPr>
          <w:rFonts w:ascii="Calibri" w:hAnsi="Calibri"/>
          <w:sz w:val="21"/>
        </w:rPr>
        <w:t xml:space="preserve">Either party may cancel this agreement with [number] days' written notice. Fees for services already delivered remain payable. [Add any early-termination terms.]</w:t>
      </w:r>
    </w:p>
    <w:p>
      <w:pPr>
        <w:spacing w:before="240" w:after="100"/>
      </w:pPr>
      <w:r>
        <w:rPr>
          <w:rFonts w:ascii="Calibri" w:hAnsi="Calibri"/>
          <w:b/>
          <w:color w:val="0B7A43"/>
          <w:sz w:val="26"/>
        </w:rPr>
        <w:t xml:space="preserve">10. Guarantee and limitations</w:t>
      </w:r>
    </w:p>
    <w:p>
      <w:pPr>
        <w:spacing w:before="0" w:after="120"/>
      </w:pPr>
      <w:r>
        <w:rPr>
          <w:rFonts w:ascii="Calibri" w:hAnsi="Calibri"/>
          <w:sz w:val="21"/>
        </w:rPr>
        <w:t xml:space="preserve">[Describe any service guarantee — e.g. free re-treatment if covered pests return between scheduled visits — and any limitations, such as conditions outside the provider's control.]</w:t>
      </w:r>
    </w:p>
    <w:p>
      <w:pPr>
        <w:spacing w:before="240" w:after="100"/>
      </w:pPr>
      <w:r>
        <w:rPr>
          <w:rFonts w:ascii="Calibri" w:hAnsi="Calibri"/>
          <w:b/>
          <w:color w:val="0B7A43"/>
          <w:sz w:val="26"/>
        </w:rPr>
        <w:t xml:space="preserve">11. Signatures</w:t>
      </w:r>
    </w:p>
    <w:p>
      <w:pPr>
        <w:spacing w:before="240" w:after="120"/>
      </w:pPr>
      <w:r>
        <w:rPr>
          <w:rFonts w:ascii="Calibri" w:hAnsi="Calibri"/>
          <w:b/>
          <w:sz w:val="21"/>
        </w:rPr>
        <w:t xml:space="preserve">Service provider</w:t>
      </w:r>
    </w:p>
    <w:p>
      <w:pPr>
        <w:spacing w:before="0" w:after="120"/>
      </w:pPr>
      <w:r>
        <w:rPr>
          <w:rFonts w:ascii="Calibri" w:hAnsi="Calibri"/>
          <w:sz w:val="21"/>
        </w:rPr>
        <w:t xml:space="preserve">Name: ______________________________    Signature: ______________________    Date: ____________</w:t>
      </w:r>
    </w:p>
    <w:p>
      <w:pPr>
        <w:spacing w:before="240" w:after="120"/>
      </w:pPr>
      <w:r>
        <w:rPr>
          <w:rFonts w:ascii="Calibri" w:hAnsi="Calibri"/>
          <w:b/>
          <w:sz w:val="21"/>
        </w:rPr>
        <w:t xml:space="preserve">Customer</w:t>
      </w:r>
    </w:p>
    <w:p>
      <w:pPr>
        <w:spacing w:before="0" w:after="120"/>
      </w:pPr>
      <w:r>
        <w:rPr>
          <w:rFonts w:ascii="Calibri" w:hAnsi="Calibri"/>
          <w:sz w:val="21"/>
        </w:rPr>
        <w:t xml:space="preserve">Name: ______________________________    Signature: ______________________    Date: ____________</w:t>
      </w:r>
    </w:p>
    <w:p>
      <w:pPr>
        <w:spacing w:before="360" w:after="120"/>
      </w:pPr>
      <w:r>
        <w:rPr>
          <w:rFonts w:ascii="Calibri" w:hAnsi="Calibri"/>
          <w:color w:val="7F7F7F"/>
          <w:sz w:val="17"/>
        </w:rPr>
        <w:t xml:space="preserve">This template is a starting point, not legal advice. Pest control licensing, chemical use, and consumer contract rules vary by country and region — have your final agreement reviewed locally.</w:t>
      </w:r>
    </w:p>
    <w:sectPr>
      <w:pgSz w:w="11906" w:h="16838"/>
      <w:pgMar w:top="1134" w:right="1134" w:bottom="1134" w:left="1134" w:header="567" w:footer="567" w:gutter="0"/>
    </w:sectPr>
  </w:body>
</w:document>
</file>